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3</w:t>
      </w:r>
    </w:p>
    <w:p>
      <w:pPr>
        <w:rPr>
          <w:rFonts w:hint="eastAsia" w:ascii="黑体" w:hAnsi="黑体" w:eastAsia="黑体"/>
          <w:lang w:val="en-US" w:eastAsia="zh-CN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上海工程技术大学优秀研究生秘书推荐表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</w:p>
    <w:p>
      <w:pPr>
        <w:spacing w:line="560" w:lineRule="exact"/>
        <w:rPr>
          <w:rFonts w:asciiTheme="minorHAnsi" w:hAnsiTheme="minorHAnsi" w:eastAsiaTheme="minorEastAsia"/>
          <w:sz w:val="22"/>
          <w:szCs w:val="24"/>
        </w:rPr>
      </w:pPr>
      <w:r>
        <w:rPr>
          <w:rFonts w:hint="eastAsia" w:ascii="仿宋" w:hAnsi="仿宋" w:eastAsia="仿宋"/>
          <w:bCs/>
          <w:szCs w:val="32"/>
        </w:rPr>
        <w:t xml:space="preserve">部门名称： </w:t>
      </w:r>
    </w:p>
    <w:tbl>
      <w:tblPr>
        <w:tblStyle w:val="2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7"/>
        <w:gridCol w:w="1005"/>
        <w:gridCol w:w="1440"/>
        <w:gridCol w:w="1152"/>
        <w:gridCol w:w="1324"/>
        <w:gridCol w:w="1660"/>
        <w:gridCol w:w="1566"/>
      </w:tblGrid>
      <w:tr>
        <w:trPr>
          <w:trHeight w:val="478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478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职称/职务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学历/学位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从事研究生秘书工作时间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478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近两个年度研究生培养单位考核情况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3588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理由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综述</w:t>
            </w:r>
          </w:p>
        </w:tc>
        <w:tc>
          <w:tcPr>
            <w:tcW w:w="8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（可另附纸张）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70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</w:rPr>
              <w:t>研究生培养</w:t>
            </w:r>
          </w:p>
          <w:p>
            <w:pPr>
              <w:jc w:val="center"/>
              <w:rPr>
                <w:rFonts w:ascii="仿宋" w:hAnsi="仿宋" w:eastAsia="仿宋"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lang w:eastAsia="zh-Hans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8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6000" w:firstLineChars="2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（盖 章）</w:t>
            </w:r>
          </w:p>
          <w:p>
            <w:pPr>
              <w:ind w:firstLine="5760" w:firstLineChars="2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E3C1"/>
    <w:rsid w:val="FEBD8359"/>
    <w:rsid w:val="FFFBE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